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EBC1" w14:textId="7BC30F82" w:rsidR="00162A1C" w:rsidRDefault="009B0CF7" w:rsidP="008B580C">
      <w:pPr>
        <w:outlineLvl w:val="0"/>
        <w:rPr>
          <w:rFonts w:ascii="Cambria" w:hAnsi="Cambria"/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05E441B" wp14:editId="0A12513C">
            <wp:simplePos x="0" y="0"/>
            <wp:positionH relativeFrom="column">
              <wp:posOffset>2751455</wp:posOffset>
            </wp:positionH>
            <wp:positionV relativeFrom="paragraph">
              <wp:posOffset>8255</wp:posOffset>
            </wp:positionV>
            <wp:extent cx="1253490" cy="711835"/>
            <wp:effectExtent l="0" t="0" r="0" b="0"/>
            <wp:wrapSquare wrapText="right"/>
            <wp:docPr id="2" name="Picture 2" descr="TexasHistoricalFoundation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asHistoricalFoundation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801D0" w14:textId="77777777" w:rsidR="008B580C" w:rsidRDefault="008B580C" w:rsidP="008B580C">
      <w:pPr>
        <w:jc w:val="center"/>
        <w:outlineLvl w:val="0"/>
        <w:rPr>
          <w:rFonts w:ascii="Cambria" w:hAnsi="Cambria"/>
          <w:b/>
        </w:rPr>
      </w:pPr>
    </w:p>
    <w:p w14:paraId="1FDA52F8" w14:textId="77777777" w:rsidR="008B580C" w:rsidRDefault="008B580C" w:rsidP="008B580C">
      <w:pPr>
        <w:jc w:val="center"/>
        <w:outlineLvl w:val="0"/>
        <w:rPr>
          <w:rFonts w:ascii="Cambria" w:hAnsi="Cambria"/>
          <w:b/>
        </w:rPr>
      </w:pPr>
    </w:p>
    <w:p w14:paraId="15ADB5BC" w14:textId="77777777" w:rsidR="008B580C" w:rsidRDefault="008B580C" w:rsidP="008B580C">
      <w:pPr>
        <w:jc w:val="center"/>
        <w:outlineLvl w:val="0"/>
        <w:rPr>
          <w:rFonts w:ascii="Cambria" w:hAnsi="Cambria"/>
          <w:b/>
        </w:rPr>
      </w:pPr>
    </w:p>
    <w:p w14:paraId="4421A545" w14:textId="77777777" w:rsidR="008B580C" w:rsidRDefault="008B580C" w:rsidP="002255A9">
      <w:pPr>
        <w:outlineLvl w:val="0"/>
        <w:rPr>
          <w:rFonts w:ascii="Cambria" w:hAnsi="Cambria"/>
          <w:b/>
        </w:rPr>
      </w:pPr>
    </w:p>
    <w:p w14:paraId="59CE15D7" w14:textId="77777777" w:rsidR="00322C2A" w:rsidRPr="00322C2A" w:rsidRDefault="00322C2A" w:rsidP="00322C2A">
      <w:pPr>
        <w:spacing w:line="360" w:lineRule="auto"/>
        <w:jc w:val="center"/>
        <w:rPr>
          <w:rFonts w:ascii="Times" w:eastAsia="Times" w:hAnsi="Times"/>
          <w:b/>
          <w:sz w:val="40"/>
          <w:szCs w:val="20"/>
        </w:rPr>
      </w:pPr>
      <w:r w:rsidRPr="00322C2A">
        <w:rPr>
          <w:rFonts w:ascii="Times" w:eastAsia="Times" w:hAnsi="Times"/>
          <w:b/>
          <w:sz w:val="40"/>
          <w:szCs w:val="20"/>
        </w:rPr>
        <w:t>TEXAS HISTORICAL FOUNDATION</w:t>
      </w:r>
    </w:p>
    <w:p w14:paraId="5228C7C6" w14:textId="77777777" w:rsidR="00322C2A" w:rsidRPr="00322C2A" w:rsidRDefault="00322C2A" w:rsidP="00322C2A">
      <w:pPr>
        <w:spacing w:line="360" w:lineRule="auto"/>
        <w:jc w:val="center"/>
        <w:rPr>
          <w:rFonts w:ascii="Times" w:eastAsia="Times" w:hAnsi="Times"/>
          <w:i/>
          <w:szCs w:val="20"/>
        </w:rPr>
      </w:pPr>
      <w:r w:rsidRPr="00322C2A">
        <w:rPr>
          <w:rFonts w:ascii="Times" w:eastAsia="Times" w:hAnsi="Times"/>
          <w:i/>
          <w:szCs w:val="20"/>
        </w:rPr>
        <w:t>—Established in 1954—</w:t>
      </w:r>
    </w:p>
    <w:p w14:paraId="0184DBA3" w14:textId="77777777" w:rsidR="00322C2A" w:rsidRPr="00322C2A" w:rsidRDefault="00322C2A" w:rsidP="00322C2A">
      <w:pPr>
        <w:spacing w:line="360" w:lineRule="auto"/>
        <w:rPr>
          <w:rFonts w:ascii="Times" w:eastAsia="Times" w:hAnsi="Times"/>
          <w:sz w:val="20"/>
          <w:szCs w:val="20"/>
        </w:rPr>
      </w:pPr>
    </w:p>
    <w:p w14:paraId="60EAB47C" w14:textId="77777777" w:rsidR="00322C2A" w:rsidRPr="002255A9" w:rsidRDefault="008F2F7E" w:rsidP="00322C2A">
      <w:pPr>
        <w:spacing w:line="360" w:lineRule="auto"/>
        <w:rPr>
          <w:rFonts w:ascii="Cambria" w:eastAsia="Times" w:hAnsi="Cambria"/>
          <w:b/>
          <w:sz w:val="22"/>
          <w:szCs w:val="22"/>
        </w:rPr>
      </w:pPr>
      <w:r w:rsidRPr="002255A9">
        <w:rPr>
          <w:rFonts w:ascii="Cambria" w:eastAsia="Times" w:hAnsi="Cambria"/>
          <w:sz w:val="22"/>
          <w:szCs w:val="22"/>
        </w:rPr>
        <w:t>August 23, 2021</w:t>
      </w:r>
      <w:r w:rsidR="00322C2A" w:rsidRPr="002255A9">
        <w:rPr>
          <w:rFonts w:ascii="Cambria" w:eastAsia="Times" w:hAnsi="Cambria"/>
          <w:sz w:val="22"/>
          <w:szCs w:val="22"/>
        </w:rPr>
        <w:tab/>
      </w:r>
      <w:r w:rsidR="00322C2A" w:rsidRPr="002255A9">
        <w:rPr>
          <w:rFonts w:ascii="Cambria" w:eastAsia="Times" w:hAnsi="Cambria"/>
          <w:b/>
          <w:sz w:val="22"/>
          <w:szCs w:val="22"/>
        </w:rPr>
        <w:tab/>
      </w:r>
      <w:r w:rsidR="00322C2A" w:rsidRPr="002255A9">
        <w:rPr>
          <w:rFonts w:ascii="Cambria" w:eastAsia="Times" w:hAnsi="Cambria"/>
          <w:b/>
          <w:sz w:val="22"/>
          <w:szCs w:val="22"/>
        </w:rPr>
        <w:tab/>
      </w:r>
      <w:r w:rsidR="002255A9" w:rsidRPr="002255A9">
        <w:rPr>
          <w:rFonts w:ascii="Cambria" w:eastAsia="Times" w:hAnsi="Cambria"/>
          <w:b/>
          <w:sz w:val="22"/>
          <w:szCs w:val="22"/>
        </w:rPr>
        <w:tab/>
      </w:r>
      <w:r w:rsidR="002255A9" w:rsidRPr="002255A9">
        <w:rPr>
          <w:rFonts w:ascii="Cambria" w:eastAsia="Times" w:hAnsi="Cambria"/>
          <w:b/>
          <w:sz w:val="22"/>
          <w:szCs w:val="22"/>
        </w:rPr>
        <w:tab/>
      </w:r>
      <w:r w:rsidR="002255A9" w:rsidRPr="002255A9">
        <w:rPr>
          <w:rFonts w:ascii="Cambria" w:eastAsia="Times" w:hAnsi="Cambria"/>
          <w:b/>
          <w:sz w:val="22"/>
          <w:szCs w:val="22"/>
        </w:rPr>
        <w:tab/>
      </w:r>
      <w:r w:rsidR="002255A9" w:rsidRPr="002255A9">
        <w:rPr>
          <w:rFonts w:ascii="Cambria" w:eastAsia="Times" w:hAnsi="Cambria"/>
          <w:b/>
          <w:sz w:val="22"/>
          <w:szCs w:val="22"/>
        </w:rPr>
        <w:tab/>
      </w:r>
      <w:r w:rsidR="002255A9" w:rsidRPr="002255A9">
        <w:rPr>
          <w:rFonts w:ascii="Cambria" w:eastAsia="Times" w:hAnsi="Cambria"/>
          <w:b/>
          <w:sz w:val="22"/>
          <w:szCs w:val="22"/>
        </w:rPr>
        <w:tab/>
      </w:r>
      <w:r w:rsidR="00322C2A" w:rsidRPr="002255A9">
        <w:rPr>
          <w:rFonts w:ascii="Cambria" w:eastAsia="Times" w:hAnsi="Cambria"/>
          <w:b/>
          <w:sz w:val="22"/>
          <w:szCs w:val="22"/>
        </w:rPr>
        <w:t>FOR IMMEDIATE RELEASE</w:t>
      </w:r>
      <w:r w:rsidR="00322C2A" w:rsidRPr="002255A9">
        <w:rPr>
          <w:rFonts w:ascii="Cambria" w:eastAsia="Times" w:hAnsi="Cambria"/>
          <w:b/>
          <w:sz w:val="22"/>
          <w:szCs w:val="22"/>
        </w:rPr>
        <w:tab/>
      </w:r>
    </w:p>
    <w:p w14:paraId="271AE2B3" w14:textId="77777777" w:rsidR="00322C2A" w:rsidRPr="00322C2A" w:rsidRDefault="002255A9" w:rsidP="00322C2A">
      <w:pPr>
        <w:spacing w:line="360" w:lineRule="auto"/>
        <w:rPr>
          <w:rFonts w:ascii="Cambria" w:eastAsia="Times" w:hAnsi="Cambria"/>
          <w:szCs w:val="20"/>
        </w:rPr>
      </w:pPr>
      <w:r w:rsidRPr="002255A9">
        <w:rPr>
          <w:rFonts w:ascii="Cambria" w:eastAsia="Times" w:hAnsi="Cambria"/>
          <w:b/>
          <w:sz w:val="22"/>
          <w:szCs w:val="22"/>
        </w:rPr>
        <w:t>Call</w:t>
      </w:r>
      <w:r w:rsidR="00322C2A" w:rsidRPr="002255A9">
        <w:rPr>
          <w:rFonts w:ascii="Cambria" w:eastAsia="Times" w:hAnsi="Cambria"/>
          <w:b/>
          <w:sz w:val="22"/>
          <w:szCs w:val="22"/>
        </w:rPr>
        <w:t xml:space="preserve"> 512-453-2154 for more information</w:t>
      </w:r>
    </w:p>
    <w:p w14:paraId="4D77B050" w14:textId="77777777" w:rsidR="002255A9" w:rsidRDefault="002255A9" w:rsidP="00322C2A">
      <w:pPr>
        <w:keepNext/>
        <w:outlineLvl w:val="0"/>
        <w:rPr>
          <w:rFonts w:ascii="Cambria" w:eastAsia="Times" w:hAnsi="Cambria"/>
          <w:b/>
          <w:color w:val="000000"/>
          <w:szCs w:val="20"/>
        </w:rPr>
      </w:pPr>
    </w:p>
    <w:p w14:paraId="03B3CB40" w14:textId="77777777" w:rsidR="00322C2A" w:rsidRPr="002255A9" w:rsidRDefault="002255A9" w:rsidP="00322C2A">
      <w:pPr>
        <w:keepNext/>
        <w:outlineLvl w:val="0"/>
        <w:rPr>
          <w:rFonts w:ascii="Cambria" w:eastAsia="Times" w:hAnsi="Cambria"/>
          <w:b/>
          <w:color w:val="000000"/>
        </w:rPr>
      </w:pPr>
      <w:r>
        <w:rPr>
          <w:rFonts w:ascii="Cambria" w:eastAsia="Times" w:hAnsi="Cambria"/>
          <w:b/>
          <w:color w:val="000000"/>
        </w:rPr>
        <w:t xml:space="preserve">THF Preservation </w:t>
      </w:r>
      <w:r w:rsidR="00F51DBB" w:rsidRPr="002255A9">
        <w:rPr>
          <w:rFonts w:ascii="Cambria" w:eastAsia="Times" w:hAnsi="Cambria"/>
          <w:b/>
          <w:color w:val="000000"/>
        </w:rPr>
        <w:t>Grant</w:t>
      </w:r>
      <w:r>
        <w:rPr>
          <w:rFonts w:ascii="Cambria" w:eastAsia="Times" w:hAnsi="Cambria"/>
          <w:b/>
          <w:color w:val="000000"/>
        </w:rPr>
        <w:t xml:space="preserve"> Assistance Grows as More Awards Are Given</w:t>
      </w:r>
      <w:r w:rsidR="00F51DBB" w:rsidRPr="002255A9">
        <w:rPr>
          <w:rFonts w:ascii="Cambria" w:eastAsia="Times" w:hAnsi="Cambria"/>
          <w:b/>
          <w:color w:val="000000"/>
        </w:rPr>
        <w:t xml:space="preserve"> </w:t>
      </w:r>
    </w:p>
    <w:p w14:paraId="23891617" w14:textId="77777777" w:rsidR="00F51DBB" w:rsidRPr="00F51DBB" w:rsidRDefault="00F51DBB" w:rsidP="00322C2A">
      <w:pPr>
        <w:keepNext/>
        <w:outlineLvl w:val="0"/>
        <w:rPr>
          <w:rFonts w:ascii="Cambria" w:eastAsia="Times" w:hAnsi="Cambria"/>
          <w:b/>
          <w:color w:val="000000"/>
          <w:szCs w:val="20"/>
        </w:rPr>
      </w:pPr>
    </w:p>
    <w:p w14:paraId="5D2140E7" w14:textId="77777777" w:rsidR="00F51DBB" w:rsidRPr="00F51DBB" w:rsidRDefault="00F51DBB" w:rsidP="002255A9">
      <w:pPr>
        <w:pStyle w:val="HeritageByline"/>
        <w:spacing w:line="360" w:lineRule="auto"/>
        <w:ind w:firstLine="0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AUSTIN, Texas—The Texas Historical Foundation board administers nine endowments that provide funding assistance in areas that range from archeology to the arts </w:t>
      </w:r>
      <w:r w:rsidR="00D66E95">
        <w:rPr>
          <w:rStyle w:val="EndnoteItals"/>
          <w:rFonts w:ascii="Cambria" w:hAnsi="Cambria" w:cs="Adobe Caslon Pro"/>
          <w:spacing w:val="-1"/>
          <w:sz w:val="22"/>
          <w:szCs w:val="22"/>
        </w:rPr>
        <w:t>and</w:t>
      </w:r>
      <w:r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 rural preservation. </w:t>
      </w:r>
      <w:r w:rsidR="002255A9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The following grants were recently </w:t>
      </w:r>
      <w:r w:rsidR="00D66E95">
        <w:rPr>
          <w:rStyle w:val="EndnoteItals"/>
          <w:rFonts w:ascii="Cambria" w:hAnsi="Cambria" w:cs="Adobe Caslon Pro"/>
          <w:spacing w:val="-1"/>
          <w:sz w:val="22"/>
          <w:szCs w:val="22"/>
        </w:rPr>
        <w:t>announced</w:t>
      </w:r>
      <w:r w:rsidR="002255A9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: </w:t>
      </w:r>
    </w:p>
    <w:p w14:paraId="5FC3C1DF" w14:textId="77777777" w:rsidR="002255A9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 • The Bartlett Activities Center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, Bartlett, will continue renovation work at the 1909 school (now serving as a community center) using its second g</w:t>
      </w:r>
      <w:r w:rsidR="002255A9">
        <w:rPr>
          <w:rStyle w:val="EndnoteItals"/>
          <w:rFonts w:ascii="Cambria" w:hAnsi="Cambria" w:cs="Adobe Caslon Pro"/>
          <w:spacing w:val="-1"/>
          <w:sz w:val="22"/>
          <w:szCs w:val="22"/>
        </w:rPr>
        <w:t>ift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 from the </w:t>
      </w:r>
      <w:r w:rsidRPr="00F51DBB">
        <w:rPr>
          <w:rStyle w:val="EndnoteItals"/>
          <w:rFonts w:ascii="Cambria" w:hAnsi="Cambria" w:cs="Adobe Caslon Pro"/>
          <w:b/>
          <w:bCs/>
          <w:spacing w:val="-1"/>
          <w:sz w:val="22"/>
          <w:szCs w:val="22"/>
        </w:rPr>
        <w:t>Michael C. Duda Historic Architectural Endowment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. </w:t>
      </w:r>
    </w:p>
    <w:p w14:paraId="73F16DB0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The following assistance was funded from the</w:t>
      </w:r>
      <w:r w:rsidRPr="00F51DBB">
        <w:rPr>
          <w:rStyle w:val="EndnoteItals"/>
          <w:rFonts w:ascii="Cambria" w:hAnsi="Cambria" w:cs="Adobe Caslon Pro"/>
          <w:b/>
          <w:bCs/>
          <w:spacing w:val="-1"/>
          <w:sz w:val="22"/>
          <w:szCs w:val="22"/>
        </w:rPr>
        <w:t xml:space="preserve"> Jack R. Wahlquist Directors Endowment.</w:t>
      </w:r>
    </w:p>
    <w:p w14:paraId="1009E570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• 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>Friends of the Corpus Christi Museum of Science and History,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 Corpus Christi, will create a history project for 4th and 5th graders using live actors and educators with its grant. </w:t>
      </w:r>
    </w:p>
    <w:p w14:paraId="66B3ADC3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• 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>Heritage Guild of Collin County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, McKinney, won approval for a request to make foundation repairs and hand brush the exterior paint on the 1854 Faires-Bell House.   </w:t>
      </w:r>
    </w:p>
    <w:p w14:paraId="161DF4E6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•  Rockport Cultural Arts District,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Rockport,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will help restore the 1888 Rockport San Antonio and Aransas Pass Depot with THF grant funds. </w:t>
      </w:r>
    </w:p>
    <w:p w14:paraId="1648D3FB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• 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Goodman-LeGrand Museum,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Tyler,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received an allocation for work on the windows and professional services to appraise and properly document artifacts.</w:t>
      </w:r>
    </w:p>
    <w:p w14:paraId="02F8EF0C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•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 Friends of the History Center for Aransas County,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Rockport, will use its grant for the exhibit </w:t>
      </w:r>
      <w:r w:rsidRPr="002255A9">
        <w:rPr>
          <w:rStyle w:val="EndnoteItals"/>
          <w:rFonts w:ascii="Cambria" w:hAnsi="Cambria" w:cs="Adobe Caslon Pro"/>
          <w:i/>
          <w:iCs/>
          <w:spacing w:val="-1"/>
          <w:sz w:val="22"/>
          <w:szCs w:val="22"/>
        </w:rPr>
        <w:t>Vietnamese Neighbors: 40 Years on the Texas Coast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 and for printing </w:t>
      </w:r>
      <w:r w:rsidRPr="002255A9">
        <w:rPr>
          <w:rStyle w:val="EndnoteItals"/>
          <w:rFonts w:ascii="Cambria" w:hAnsi="Cambria" w:cs="Adobe Caslon Pro"/>
          <w:i/>
          <w:iCs/>
          <w:spacing w:val="-1"/>
          <w:sz w:val="22"/>
          <w:szCs w:val="22"/>
        </w:rPr>
        <w:t>Growing Up Vietnamese on the Texas Coast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. </w:t>
      </w:r>
    </w:p>
    <w:p w14:paraId="22F74EF1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>•</w:t>
      </w: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 xml:space="preserve"> Wolfe City Public Library, 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Wolfe City, received assistance for renovating the Santa Fe Depot Building, which houses the city’s library. </w:t>
      </w:r>
    </w:p>
    <w:p w14:paraId="049C3425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The following two rural preservation grants were made from the </w:t>
      </w:r>
      <w:r w:rsidRPr="002255A9">
        <w:rPr>
          <w:rStyle w:val="EndnoteItals"/>
          <w:rFonts w:ascii="Cambria" w:hAnsi="Cambria" w:cs="Adobe Caslon Pro"/>
          <w:b/>
          <w:bCs/>
          <w:spacing w:val="-1"/>
          <w:sz w:val="22"/>
          <w:szCs w:val="22"/>
        </w:rPr>
        <w:t>Jeanne R. Blocker Memorial Fund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. </w:t>
      </w:r>
    </w:p>
    <w:p w14:paraId="77892995" w14:textId="77777777" w:rsidR="00F51DBB" w:rsidRPr="00F51DBB" w:rsidRDefault="00F51DBB" w:rsidP="002255A9">
      <w:pPr>
        <w:pStyle w:val="HeritageByline"/>
        <w:spacing w:line="360" w:lineRule="auto"/>
        <w:jc w:val="left"/>
        <w:rPr>
          <w:rStyle w:val="EndnoteItals"/>
          <w:rFonts w:ascii="Cambria" w:hAnsi="Cambria" w:cs="Adobe Caslon Pro"/>
          <w:spacing w:val="-1"/>
          <w:sz w:val="22"/>
          <w:szCs w:val="22"/>
        </w:rPr>
      </w:pPr>
      <w:r w:rsidRPr="00F51DBB">
        <w:rPr>
          <w:rStyle w:val="EndnoteItals"/>
          <w:rFonts w:ascii="Cambria" w:hAnsi="Cambria" w:cs="Adobe Caslon Pro Bold"/>
          <w:b/>
          <w:bCs/>
          <w:spacing w:val="-1"/>
          <w:sz w:val="22"/>
          <w:szCs w:val="22"/>
        </w:rPr>
        <w:t>• Farmersville Historical Society,</w:t>
      </w:r>
      <w:r w:rsidRPr="00F51DBB">
        <w:rPr>
          <w:rStyle w:val="EndnoteItals"/>
          <w:rFonts w:ascii="Cambria" w:hAnsi="Cambria" w:cs="Adobe Caslon Pro"/>
          <w:spacing w:val="-1"/>
          <w:sz w:val="22"/>
          <w:szCs w:val="22"/>
        </w:rPr>
        <w:t xml:space="preserve"> Farmersville, received a grant to repaint and complete other work on the 1865 Bain-Honaker House. </w:t>
      </w:r>
    </w:p>
    <w:p w14:paraId="640D3788" w14:textId="77777777" w:rsidR="00322C2A" w:rsidRPr="00F51DBB" w:rsidRDefault="00F51DBB" w:rsidP="0029626F">
      <w:pPr>
        <w:spacing w:line="360" w:lineRule="auto"/>
        <w:ind w:firstLine="180"/>
        <w:rPr>
          <w:rFonts w:ascii="Cambria" w:eastAsia="Times" w:hAnsi="Cambria"/>
          <w:color w:val="000000"/>
          <w:sz w:val="22"/>
          <w:szCs w:val="22"/>
        </w:rPr>
      </w:pPr>
      <w:r w:rsidRPr="00F51DBB">
        <w:rPr>
          <w:rStyle w:val="EndnoteItals"/>
          <w:rFonts w:ascii="Cambria" w:hAnsi="Cambria" w:cs="Adobe Caslon Pro"/>
          <w:i w:val="0"/>
          <w:iCs w:val="0"/>
          <w:spacing w:val="-1"/>
          <w:sz w:val="22"/>
          <w:szCs w:val="22"/>
        </w:rPr>
        <w:t>•</w:t>
      </w:r>
      <w:r w:rsidRPr="00F51DBB">
        <w:rPr>
          <w:rStyle w:val="EndnoteItals"/>
          <w:rFonts w:ascii="Cambria" w:hAnsi="Cambria" w:cs="Adobe Caslon Pro Bold"/>
          <w:b/>
          <w:bCs/>
          <w:i w:val="0"/>
          <w:iCs w:val="0"/>
          <w:spacing w:val="-1"/>
          <w:sz w:val="22"/>
          <w:szCs w:val="22"/>
        </w:rPr>
        <w:t xml:space="preserve"> North Texas Society of History and Culture, </w:t>
      </w:r>
      <w:r w:rsidRPr="00F51DBB">
        <w:rPr>
          <w:rStyle w:val="EndnoteItals"/>
          <w:rFonts w:ascii="Cambria" w:hAnsi="Cambria" w:cs="Adobe Caslon Pro"/>
          <w:i w:val="0"/>
          <w:iCs w:val="0"/>
          <w:spacing w:val="-1"/>
          <w:sz w:val="22"/>
          <w:szCs w:val="22"/>
        </w:rPr>
        <w:t>Nocona, will install a security system in the Tales ‘N’ Trails Museum with its award.</w:t>
      </w:r>
    </w:p>
    <w:p w14:paraId="6A1846BA" w14:textId="77777777" w:rsidR="00322C2A" w:rsidRPr="002255A9" w:rsidRDefault="00322C2A" w:rsidP="002255A9">
      <w:pPr>
        <w:spacing w:line="360" w:lineRule="auto"/>
        <w:ind w:firstLine="720"/>
        <w:rPr>
          <w:rFonts w:ascii="Cambria" w:eastAsia="Times" w:hAnsi="Cambria"/>
          <w:sz w:val="22"/>
          <w:szCs w:val="22"/>
        </w:rPr>
      </w:pPr>
      <w:r w:rsidRPr="002255A9">
        <w:rPr>
          <w:rFonts w:ascii="Cambria" w:eastAsia="Times" w:hAnsi="Cambria"/>
          <w:sz w:val="22"/>
          <w:szCs w:val="22"/>
        </w:rPr>
        <w:t xml:space="preserve">Since 1954, the Texas Historical Foundation has funded preservation and education projects around the state and helps promote the cultural legacy of </w:t>
      </w:r>
      <w:r w:rsidR="002255A9">
        <w:rPr>
          <w:rFonts w:ascii="Cambria" w:eastAsia="Times" w:hAnsi="Cambria"/>
          <w:sz w:val="22"/>
          <w:szCs w:val="22"/>
        </w:rPr>
        <w:t>Texas</w:t>
      </w:r>
      <w:r w:rsidRPr="002255A9">
        <w:rPr>
          <w:rFonts w:ascii="Cambria" w:eastAsia="Times" w:hAnsi="Cambria"/>
          <w:sz w:val="22"/>
          <w:szCs w:val="22"/>
        </w:rPr>
        <w:t xml:space="preserve"> Among the group’s efforts is its award-winning Texas HERITAGE magazine and </w:t>
      </w:r>
      <w:r w:rsidR="00D66E95">
        <w:rPr>
          <w:rFonts w:ascii="Cambria" w:eastAsia="Times" w:hAnsi="Cambria"/>
          <w:sz w:val="22"/>
          <w:szCs w:val="22"/>
        </w:rPr>
        <w:t>an active</w:t>
      </w:r>
      <w:r w:rsidRPr="002255A9">
        <w:rPr>
          <w:rFonts w:ascii="Cambria" w:eastAsia="Times" w:hAnsi="Cambria"/>
          <w:sz w:val="22"/>
          <w:szCs w:val="22"/>
        </w:rPr>
        <w:t xml:space="preserve"> grants program. </w:t>
      </w:r>
      <w:r w:rsidR="002255A9">
        <w:rPr>
          <w:rFonts w:ascii="Cambria" w:eastAsia="Times" w:hAnsi="Cambria"/>
          <w:sz w:val="22"/>
          <w:szCs w:val="22"/>
        </w:rPr>
        <w:t xml:space="preserve">For more information, </w:t>
      </w:r>
      <w:r w:rsidR="00D66E95">
        <w:rPr>
          <w:rFonts w:ascii="Cambria" w:eastAsia="Times" w:hAnsi="Cambria"/>
          <w:color w:val="000000"/>
          <w:sz w:val="22"/>
          <w:szCs w:val="22"/>
        </w:rPr>
        <w:t>see</w:t>
      </w:r>
      <w:r w:rsidR="002255A9">
        <w:rPr>
          <w:rFonts w:ascii="Cambria" w:eastAsia="Times" w:hAnsi="Cambria"/>
          <w:color w:val="000000"/>
          <w:sz w:val="22"/>
          <w:szCs w:val="22"/>
        </w:rPr>
        <w:t xml:space="preserve"> </w:t>
      </w:r>
      <w:r w:rsidR="002255A9">
        <w:rPr>
          <w:rFonts w:ascii="Cambria" w:eastAsia="Times" w:hAnsi="Cambria"/>
          <w:sz w:val="22"/>
          <w:szCs w:val="22"/>
        </w:rPr>
        <w:t>www.</w:t>
      </w:r>
      <w:r w:rsidR="0051351D" w:rsidRPr="002255A9">
        <w:rPr>
          <w:rFonts w:ascii="Cambria" w:eastAsia="Times" w:hAnsi="Cambria"/>
          <w:sz w:val="22"/>
          <w:szCs w:val="22"/>
        </w:rPr>
        <w:t>texashistoricalfoundation.or</w:t>
      </w:r>
      <w:r w:rsidR="002255A9">
        <w:rPr>
          <w:rFonts w:ascii="Cambria" w:eastAsia="Times" w:hAnsi="Cambria"/>
          <w:sz w:val="22"/>
          <w:szCs w:val="22"/>
        </w:rPr>
        <w:t>g</w:t>
      </w:r>
      <w:r w:rsidR="0029626F">
        <w:rPr>
          <w:rFonts w:ascii="Cambria" w:eastAsia="Times" w:hAnsi="Cambria"/>
          <w:sz w:val="22"/>
          <w:szCs w:val="22"/>
        </w:rPr>
        <w:t>.</w:t>
      </w:r>
    </w:p>
    <w:sectPr w:rsidR="00322C2A" w:rsidRPr="002255A9" w:rsidSect="00021665">
      <w:pgSz w:w="12240" w:h="15840" w:code="1"/>
      <w:pgMar w:top="576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Adobe Garamond Pro">
    <w:altName w:val="Adobe Garamond Pro"/>
    <w:charset w:val="4D"/>
    <w:family w:val="roman"/>
    <w:pitch w:val="variable"/>
    <w:sig w:usb0="00000007" w:usb1="00000001" w:usb2="00000000" w:usb3="00000000" w:csb0="00000093" w:csb1="00000000"/>
  </w:font>
  <w:font w:name="L Avenir Light"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dobe Caslon Pro">
    <w:altName w:val="Adobe Caslon Pro"/>
    <w:charset w:val="4D"/>
    <w:family w:val="roman"/>
    <w:notTrueType/>
    <w:pitch w:val="variable"/>
    <w:sig w:usb0="00000007" w:usb1="00000001" w:usb2="00000000" w:usb3="00000000" w:csb0="00000093" w:csb1="00000000"/>
  </w:font>
  <w:font w:name="Adobe Caslon Pro Bold">
    <w:altName w:val="Adobe Caslon Pro Bold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F2EC0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3F0E9F"/>
    <w:multiLevelType w:val="hybridMultilevel"/>
    <w:tmpl w:val="3BEE8E0A"/>
    <w:lvl w:ilvl="0" w:tplc="F0DE16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5A96D00"/>
    <w:multiLevelType w:val="hybridMultilevel"/>
    <w:tmpl w:val="209EA068"/>
    <w:lvl w:ilvl="0" w:tplc="04090001">
      <w:start w:val="20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77956"/>
    <w:multiLevelType w:val="hybridMultilevel"/>
    <w:tmpl w:val="6A76BD7C"/>
    <w:lvl w:ilvl="0" w:tplc="67B053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BD936B6"/>
    <w:multiLevelType w:val="hybridMultilevel"/>
    <w:tmpl w:val="D1A8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E2B4A"/>
    <w:multiLevelType w:val="hybridMultilevel"/>
    <w:tmpl w:val="34AC0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F25D7"/>
    <w:multiLevelType w:val="hybridMultilevel"/>
    <w:tmpl w:val="D1A89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6B"/>
    <w:rsid w:val="00003954"/>
    <w:rsid w:val="00021665"/>
    <w:rsid w:val="000260C3"/>
    <w:rsid w:val="0004574A"/>
    <w:rsid w:val="00072E00"/>
    <w:rsid w:val="00104263"/>
    <w:rsid w:val="00105842"/>
    <w:rsid w:val="00162A1C"/>
    <w:rsid w:val="001642AD"/>
    <w:rsid w:val="0020785B"/>
    <w:rsid w:val="002255A9"/>
    <w:rsid w:val="00226836"/>
    <w:rsid w:val="00270932"/>
    <w:rsid w:val="0029626F"/>
    <w:rsid w:val="002B041F"/>
    <w:rsid w:val="002E7306"/>
    <w:rsid w:val="002F5419"/>
    <w:rsid w:val="00314F91"/>
    <w:rsid w:val="00322C2A"/>
    <w:rsid w:val="00347159"/>
    <w:rsid w:val="003970E3"/>
    <w:rsid w:val="003B5417"/>
    <w:rsid w:val="0041285C"/>
    <w:rsid w:val="00421A35"/>
    <w:rsid w:val="00426CAD"/>
    <w:rsid w:val="0045307C"/>
    <w:rsid w:val="004645BA"/>
    <w:rsid w:val="00473E19"/>
    <w:rsid w:val="0049579B"/>
    <w:rsid w:val="0051351D"/>
    <w:rsid w:val="00561118"/>
    <w:rsid w:val="0065373B"/>
    <w:rsid w:val="00674DB2"/>
    <w:rsid w:val="006A0608"/>
    <w:rsid w:val="006A5E80"/>
    <w:rsid w:val="007C3EFF"/>
    <w:rsid w:val="008249BC"/>
    <w:rsid w:val="00842D68"/>
    <w:rsid w:val="0087666D"/>
    <w:rsid w:val="00884C69"/>
    <w:rsid w:val="00894C58"/>
    <w:rsid w:val="008B580C"/>
    <w:rsid w:val="008F2F7E"/>
    <w:rsid w:val="00920EFF"/>
    <w:rsid w:val="00951CAC"/>
    <w:rsid w:val="009B0CF7"/>
    <w:rsid w:val="009D7A03"/>
    <w:rsid w:val="009F4FC1"/>
    <w:rsid w:val="00A647EB"/>
    <w:rsid w:val="00A84BA5"/>
    <w:rsid w:val="00B0178E"/>
    <w:rsid w:val="00B54C40"/>
    <w:rsid w:val="00BC1BED"/>
    <w:rsid w:val="00BC7BC3"/>
    <w:rsid w:val="00C2747C"/>
    <w:rsid w:val="00C35FE4"/>
    <w:rsid w:val="00C5422A"/>
    <w:rsid w:val="00CA314F"/>
    <w:rsid w:val="00CD0DBD"/>
    <w:rsid w:val="00D32991"/>
    <w:rsid w:val="00D66E95"/>
    <w:rsid w:val="00D91670"/>
    <w:rsid w:val="00DC3AF2"/>
    <w:rsid w:val="00DD4CF3"/>
    <w:rsid w:val="00DF3C9F"/>
    <w:rsid w:val="00E01C3A"/>
    <w:rsid w:val="00E030B8"/>
    <w:rsid w:val="00E97B1C"/>
    <w:rsid w:val="00EC02A0"/>
    <w:rsid w:val="00EF565F"/>
    <w:rsid w:val="00EF665F"/>
    <w:rsid w:val="00F14FA2"/>
    <w:rsid w:val="00F35EC5"/>
    <w:rsid w:val="00F51DBB"/>
    <w:rsid w:val="00FA786A"/>
    <w:rsid w:val="00FE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896F70"/>
  <w15:chartTrackingRefBased/>
  <w15:docId w15:val="{B4FD9666-1F63-44EA-82A9-D480A8EE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DocumentMap">
    <w:name w:val="Document Map"/>
    <w:basedOn w:val="Normal"/>
    <w:link w:val="DocumentMapChar"/>
    <w:uiPriority w:val="99"/>
    <w:semiHidden/>
    <w:unhideWhenUsed/>
    <w:rsid w:val="0028075D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28075D"/>
    <w:rPr>
      <w:rFonts w:ascii="Lucida Grande" w:hAnsi="Lucida Grande"/>
      <w:sz w:val="24"/>
      <w:szCs w:val="24"/>
    </w:rPr>
  </w:style>
  <w:style w:type="paragraph" w:customStyle="1" w:styleId="HeritageByline">
    <w:name w:val="Heritage Byline"/>
    <w:basedOn w:val="Normal"/>
    <w:uiPriority w:val="99"/>
    <w:rsid w:val="00F51DBB"/>
    <w:pPr>
      <w:autoSpaceDE w:val="0"/>
      <w:autoSpaceDN w:val="0"/>
      <w:adjustRightInd w:val="0"/>
      <w:spacing w:line="260" w:lineRule="atLeast"/>
      <w:ind w:firstLine="180"/>
      <w:jc w:val="center"/>
      <w:textAlignment w:val="center"/>
    </w:pPr>
    <w:rPr>
      <w:rFonts w:ascii="Adobe Garamond Pro" w:hAnsi="Adobe Garamond Pro" w:cs="Adobe Garamond Pro"/>
      <w:i/>
      <w:iCs/>
      <w:color w:val="000000"/>
      <w:sz w:val="20"/>
      <w:szCs w:val="20"/>
    </w:rPr>
  </w:style>
  <w:style w:type="character" w:customStyle="1" w:styleId="EndnoteItals">
    <w:name w:val="Endnote Itals"/>
    <w:uiPriority w:val="99"/>
    <w:rsid w:val="00F51DBB"/>
    <w:rPr>
      <w:rFonts w:ascii="L Avenir Light" w:hAnsi="L Avenir Light" w:cs="L Avenir Light"/>
      <w:i/>
      <w:iCs/>
      <w:color w:val="000000"/>
      <w:spacing w:val="0"/>
      <w:w w:val="100"/>
      <w:position w:val="0"/>
      <w:sz w:val="17"/>
      <w:szCs w:val="17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B04D68798F643868285469D9183BE" ma:contentTypeVersion="12" ma:contentTypeDescription="Create a new document." ma:contentTypeScope="" ma:versionID="827b2b08ed3687f043f30b9d0081ed85">
  <xsd:schema xmlns:xsd="http://www.w3.org/2001/XMLSchema" xmlns:xs="http://www.w3.org/2001/XMLSchema" xmlns:p="http://schemas.microsoft.com/office/2006/metadata/properties" xmlns:ns2="23d48902-d2f5-4d87-815e-93937821b7a8" xmlns:ns3="dcda8d6f-b228-46fe-8525-db46dced33bb" targetNamespace="http://schemas.microsoft.com/office/2006/metadata/properties" ma:root="true" ma:fieldsID="62b8d41735859dfedf41c32d01c841c0" ns2:_="" ns3:_="">
    <xsd:import namespace="23d48902-d2f5-4d87-815e-93937821b7a8"/>
    <xsd:import namespace="dcda8d6f-b228-46fe-8525-db46dced3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48902-d2f5-4d87-815e-93937821b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a8d6f-b228-46fe-8525-db46dced3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456DE-8DD3-46C6-BF69-74F139D06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48902-d2f5-4d87-815e-93937821b7a8"/>
    <ds:schemaRef ds:uri="dcda8d6f-b228-46fe-8525-db46dced3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6FFE2-50CC-43B7-ACEF-F16FF16536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F4989-23D3-4371-894E-BED949D10B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Recommendations</vt:lpstr>
    </vt:vector>
  </TitlesOfParts>
  <Company>Keith Products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Recommendations</dc:title>
  <dc:subject/>
  <dc:creator>Tom Doell</dc:creator>
  <cp:keywords/>
  <cp:lastModifiedBy>Jessica Gadis</cp:lastModifiedBy>
  <cp:revision>2</cp:revision>
  <cp:lastPrinted>2020-07-29T13:57:00Z</cp:lastPrinted>
  <dcterms:created xsi:type="dcterms:W3CDTF">2021-08-24T23:12:00Z</dcterms:created>
  <dcterms:modified xsi:type="dcterms:W3CDTF">2021-08-24T23:12:00Z</dcterms:modified>
</cp:coreProperties>
</file>